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0C" w:rsidRPr="00C47D0C" w:rsidRDefault="00C47D0C" w:rsidP="00C47D0C">
      <w:pPr>
        <w:pBdr>
          <w:bottom w:val="single" w:sz="12" w:space="4" w:color="F62459"/>
        </w:pBd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aps/>
          <w:color w:val="F62459"/>
          <w:kern w:val="36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F62459"/>
          <w:kern w:val="36"/>
          <w:sz w:val="23"/>
          <w:szCs w:val="23"/>
          <w:lang w:eastAsia="cs-CZ"/>
        </w:rPr>
        <w:t>k</w:t>
      </w:r>
      <w:r w:rsidRPr="00C47D0C">
        <w:rPr>
          <w:rFonts w:ascii="Arial" w:eastAsia="Times New Roman" w:hAnsi="Arial" w:cs="Arial"/>
          <w:b/>
          <w:bCs/>
          <w:caps/>
          <w:color w:val="F62459"/>
          <w:kern w:val="36"/>
          <w:sz w:val="23"/>
          <w:szCs w:val="23"/>
          <w:lang w:eastAsia="cs-CZ"/>
        </w:rPr>
        <w:t>ONTROLY KOTLŮ</w:t>
      </w:r>
    </w:p>
    <w:p w:rsidR="00C47D0C" w:rsidRPr="00C47D0C" w:rsidRDefault="00C47D0C" w:rsidP="00C4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D0C">
        <w:rPr>
          <w:rFonts w:ascii="Arial" w:eastAsia="Times New Roman" w:hAnsi="Arial" w:cs="Arial"/>
          <w:color w:val="747474"/>
          <w:sz w:val="20"/>
          <w:szCs w:val="20"/>
          <w:shd w:val="clear" w:color="auto" w:fill="FFFFFF"/>
          <w:lang w:eastAsia="cs-CZ"/>
        </w:rPr>
        <w:t> </w:t>
      </w:r>
      <w:r w:rsidRPr="00C47D0C">
        <w:rPr>
          <w:rFonts w:ascii="Arial" w:eastAsia="Times New Roman" w:hAnsi="Arial" w:cs="Arial"/>
          <w:color w:val="747474"/>
          <w:sz w:val="20"/>
          <w:szCs w:val="20"/>
          <w:lang w:eastAsia="cs-CZ"/>
        </w:rPr>
        <w:br/>
      </w:r>
      <w:r w:rsidRPr="00C47D0C">
        <w:rPr>
          <w:rFonts w:ascii="Arial" w:eastAsia="Times New Roman" w:hAnsi="Arial" w:cs="Arial"/>
          <w:caps/>
          <w:noProof/>
          <w:color w:val="F62459"/>
          <w:sz w:val="23"/>
          <w:szCs w:val="23"/>
          <w:lang w:eastAsia="cs-CZ"/>
        </w:rPr>
        <w:drawing>
          <wp:anchor distT="0" distB="0" distL="0" distR="0" simplePos="0" relativeHeight="251659264" behindDoc="0" locked="0" layoutInCell="1" allowOverlap="0" wp14:anchorId="0CD8491A" wp14:editId="60792D8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00100" cy="790575"/>
            <wp:effectExtent l="0" t="0" r="0" b="9525"/>
            <wp:wrapSquare wrapText="bothSides"/>
            <wp:docPr id="1" name="obrázek 2" descr="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o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Kdo má kotel o příkonu 10 – 300 kW, který slouží jako zdroj tepla pro radiátory topení, musí mít do konce roku hotovou kontrolu zařízení. V podstatě jde o domácí kotle na pevná paliva, které se používají k vytápění celého domu. </w:t>
      </w: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Příčinou je zákon č. 201/2012 Sb. o ochraně ovzduší. Podle ustanovení § 17 odst. 1 písm. h) je každý majitel spalovacího zdroje na pevná paliva o jmenovitém příkonu 10 až 300 kW včetně, který slouží jako zdroj tepla pro teplovodní soustavu, povinen provádět jednou za dva roky kontrolu technického stavu a provozu tohoto zdroje. Podle ustanovení § 41 odst. 15 musí první kontrola proběhnout nejpozději do 31. 12. 2016.</w:t>
      </w:r>
    </w:p>
    <w:p w:rsidR="004E3F6F" w:rsidRPr="00D66ACE" w:rsidRDefault="004E3F6F" w:rsidP="004E3F6F">
      <w:pPr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Každý kotel má svého kontrolora</w:t>
      </w:r>
      <w:r w:rsidR="00D66AC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Každý majitel </w:t>
      </w:r>
      <w:hyperlink r:id="rId6" w:tgtFrame="_blank" w:history="1">
        <w:r w:rsidRPr="00D66AC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kotle</w:t>
        </w:r>
      </w:hyperlink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si musí najít ve svém regionu osobu, která může provést kontrolu právě toho jeho kotle. Seznam kontrolorů s oprávněním je možné získat u jednotlivých výrobců kotlů na jejich webových stránkách nebo lze využít seznam odborně způsobilých osob, který je průběžně doplňován o nově proškolené </w:t>
      </w:r>
      <w:hyperlink r:id="rId7" w:tgtFrame="_blank" w:history="1">
        <w:r w:rsidRPr="00D66AC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techniky</w:t>
        </w:r>
      </w:hyperlink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stránkách </w:t>
      </w:r>
      <w:hyperlink r:id="rId8" w:tgtFrame="_blank" w:history="1">
        <w:r w:rsidRPr="00D66ACE">
          <w:rPr>
            <w:rFonts w:ascii="Arial" w:eastAsia="Times New Roman" w:hAnsi="Arial" w:cs="Arial"/>
            <w:color w:val="862407"/>
            <w:sz w:val="24"/>
            <w:szCs w:val="24"/>
            <w:u w:val="single"/>
            <w:lang w:eastAsia="cs-CZ"/>
          </w:rPr>
          <w:t>Asociace podniků topenářské techniky</w:t>
        </w:r>
      </w:hyperlink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4E3F6F" w:rsidRPr="004E3F6F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F6F">
        <w:rPr>
          <w:rFonts w:ascii="Arial" w:eastAsia="Times New Roman" w:hAnsi="Arial" w:cs="Arial"/>
          <w:noProof/>
          <w:color w:val="862407"/>
          <w:sz w:val="24"/>
          <w:szCs w:val="24"/>
          <w:lang w:eastAsia="cs-CZ"/>
        </w:rPr>
        <w:drawing>
          <wp:inline distT="0" distB="0" distL="0" distR="0" wp14:anchorId="59D4CA3A" wp14:editId="535EFBF8">
            <wp:extent cx="2514600" cy="1885950"/>
            <wp:effectExtent l="0" t="0" r="0" b="0"/>
            <wp:docPr id="2" name="obrázek 1" descr="Příklad oprávnění, které musí mít technik u sebe">
              <a:hlinkClick xmlns:a="http://schemas.openxmlformats.org/drawingml/2006/main" r:id="rId9" tgtFrame="&quot;ifotozo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klad oprávnění, které musí mít technik u sebe">
                      <a:hlinkClick r:id="rId9" tgtFrame="&quot;ifotozo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6F" w:rsidRPr="00D66ACE" w:rsidRDefault="004E3F6F" w:rsidP="004E3F6F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Příklad oprávnění, které musí mít technik u sebe</w:t>
      </w:r>
      <w:r w:rsid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Oprávněná osoba by se měla prokázat dokladem, kde bude uvedeno: název a sídlo výrobce, identifikační údaje o oprávněné (proškolené) osobě, seznam typů spalovacích stacionárních zdrojů ke kontrole a dobu platnosti oprávnění.</w:t>
      </w:r>
    </w:p>
    <w:p w:rsidR="008A70CE" w:rsidRPr="00D66ACE" w:rsidRDefault="008A70CE" w:rsidP="004E3F6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Doklady o provedené kontrole kotle není třeba nikam posílat, ale je třeba mít je doma uschované pro případnou kontrolu ze strany obecního úřadu obce s rozšířenou působností.</w:t>
      </w:r>
    </w:p>
    <w:p w:rsidR="004E3F6F" w:rsidRPr="00D66ACE" w:rsidRDefault="004E3F6F" w:rsidP="004E3F6F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E3F6F" w:rsidRPr="00D66ACE" w:rsidRDefault="004E3F6F" w:rsidP="004E3F6F">
      <w:pPr>
        <w:spacing w:after="10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Při kontrole zkoumá revizní technik kompletně celý kotel, jeho celistvost a těsnost, řídicí jednotku, regulátor a havarijní termostat, ale třeba i to, co a jak se v kotli spaluje.</w:t>
      </w:r>
    </w:p>
    <w:tbl>
      <w:tblPr>
        <w:tblW w:w="8400" w:type="dxa"/>
        <w:shd w:val="clear" w:color="auto" w:fill="FFF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4E3F6F" w:rsidRPr="00D66ACE" w:rsidTr="004E3F6F">
        <w:tc>
          <w:tcPr>
            <w:tcW w:w="0" w:type="auto"/>
            <w:shd w:val="clear" w:color="auto" w:fill="FFF5E5"/>
            <w:vAlign w:val="center"/>
          </w:tcPr>
          <w:p w:rsidR="004E3F6F" w:rsidRPr="00D66ACE" w:rsidRDefault="004E3F6F" w:rsidP="004E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Během prováděné kontroly revizní technici poskytnou další poradenskou a konzultační činnost. Například poradí, jak ušetřit nebo jak to udělat, aby kotel nekouřil více, než je nutné. Základní prohlídka zabere zhruba hodinu. Její </w:t>
      </w:r>
      <w:hyperlink r:id="rId11" w:tgtFrame="_blank" w:history="1">
        <w:r w:rsidRPr="00D66AC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cena</w:t>
        </w:r>
      </w:hyperlink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individuální a není zákonem stanovená, stojí 500 až 1 500 </w:t>
      </w:r>
      <w:hyperlink r:id="rId12" w:tgtFrame="_blank" w:history="1">
        <w:r w:rsidRPr="00D66AC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korun</w:t>
        </w:r>
      </w:hyperlink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Pokud bude chtít obecní úřad</w:t>
      </w:r>
      <w:r w:rsid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Zlín</w:t>
      </w: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provést kontrolu a vy nebudete moci předložit osvědčení o kontrole, může úřad fyzické osobě za tento přestupek uložit pokutu do výše 20 tisíc korun.</w:t>
      </w: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Příkon lze zjistit na štítku kotle nebo v návodu k instalaci. Některé kotle mají uveden jen výkon. Příkon se vypočítá tak, že vydělíte výkon účinností (např. 10 kW/0,80 = 12,5 kW).</w:t>
      </w: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Jsou také případy, že část výkonu se předává do prostoru (třeba u krbových kamen) a část do teplovodního výměníku. V tomto případě se nepočítá jen výkon pro </w:t>
      </w:r>
      <w:hyperlink r:id="rId13" w:tgtFrame="_blank" w:history="1">
        <w:r w:rsidRPr="00D66ACE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vodu</w:t>
        </w:r>
      </w:hyperlink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ale celkový příkon topidla.</w:t>
      </w:r>
    </w:p>
    <w:p w:rsidR="004E3F6F" w:rsidRPr="00D66ACE" w:rsidRDefault="004E3F6F" w:rsidP="004E3F6F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E3F6F" w:rsidRPr="00D66ACE" w:rsidRDefault="004E3F6F" w:rsidP="004E3F6F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E3F6F" w:rsidRPr="00D66ACE" w:rsidRDefault="004E3F6F" w:rsidP="004E3F6F">
      <w:pPr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Nezaměňovat s kontrolou komínu</w:t>
      </w:r>
      <w:r w:rsidR="00D66AC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!!</w:t>
      </w:r>
    </w:p>
    <w:p w:rsidR="00D66ACE" w:rsidRDefault="00D66ACE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Kontrola se týká všech kotlů, tedy i těch, které jste koupili i zcela nedávno. Provedená kontrola však nenahradí zprávu o provedení čištění a kontroly spalinové cesty nebo zprávu o revizi spalinové cesty. Je třeba nezaměňovat kontrolu technického stavu a provozu kotle na tuhá paliva, vyžadovanou podle zákona o ochraně ovzduší, za kontrolu spalinové cesty prováděnou podle vyhlášky č. 34/2016 Sb. o čištění, kontrole a revizi spalinové cesty, která je prováděcím předpisem zákona o požární ochraně.</w:t>
      </w:r>
    </w:p>
    <w:p w:rsidR="004E3F6F" w:rsidRPr="00D66ACE" w:rsidRDefault="004E3F6F" w:rsidP="004E3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66A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Pokuty za přestupky a správní delikty, pokud je spalinová cesta provozována v rozporu se zákonem č. 133/1985 Sb. ve znění pozdějších předpisů, ukládá a vybírá hasičský záchranný sbor kraje.</w:t>
      </w:r>
    </w:p>
    <w:p w:rsidR="00FC0190" w:rsidRDefault="00FC0190"/>
    <w:sectPr w:rsidR="00F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0C"/>
    <w:rsid w:val="0009475C"/>
    <w:rsid w:val="004E3F6F"/>
    <w:rsid w:val="008A70CE"/>
    <w:rsid w:val="00C47D0C"/>
    <w:rsid w:val="00D66ACE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0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42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t.cz/opravneni-ozo.php" TargetMode="External"/><Relationship Id="rId13" Type="http://schemas.openxmlformats.org/officeDocument/2006/relationships/hyperlink" Target="http://go.idnes.bbelements.com/please/redirect/104/1/10/7/?param=131185/124390_0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.idnes.bbelements.com/please/redirect/104/1/10/7/?param=141904/134999_0_" TargetMode="External"/><Relationship Id="rId12" Type="http://schemas.openxmlformats.org/officeDocument/2006/relationships/hyperlink" Target="http://go.idnes.bbelements.com/please/redirect/104/1/10/7/?param=133878/127018_0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.idnes.bbelements.com/please/redirect/104/1/10/7/?param=135240/128196_0_" TargetMode="External"/><Relationship Id="rId11" Type="http://schemas.openxmlformats.org/officeDocument/2006/relationships/hyperlink" Target="http://go.idnes.bbelements.com/please/redirect/104/1/10/7/?param=130633/123749_0_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hobby.idnes.cz/foto.aspx?foto1=BMA66c17c_Clipboard0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2016-12-07T13:50:00Z</dcterms:created>
  <dcterms:modified xsi:type="dcterms:W3CDTF">2016-12-07T14:41:00Z</dcterms:modified>
</cp:coreProperties>
</file>